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74" w:rsidRDefault="00C25074" w:rsidP="00C25074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25074" w:rsidRDefault="00C25074" w:rsidP="00C25074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C25074" w:rsidRDefault="00C25074" w:rsidP="00C25074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ЕРМАКОВСКИЙ  РАЙОН</w:t>
      </w:r>
    </w:p>
    <w:p w:rsidR="00C25074" w:rsidRDefault="00C25074" w:rsidP="00C25074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НОВОПОЛТАВСКОГО  СЕЛЬСОВЕТА</w:t>
      </w:r>
    </w:p>
    <w:p w:rsidR="00C25074" w:rsidRDefault="008065FC" w:rsidP="00C25074">
      <w:pPr>
        <w:tabs>
          <w:tab w:val="left" w:pos="8505"/>
        </w:tabs>
        <w:ind w:right="99"/>
        <w:rPr>
          <w:sz w:val="28"/>
          <w:szCs w:val="28"/>
        </w:rPr>
      </w:pPr>
      <w:r>
        <w:rPr>
          <w:sz w:val="28"/>
          <w:szCs w:val="28"/>
        </w:rPr>
        <w:t xml:space="preserve"> 22.02.</w:t>
      </w:r>
      <w:r w:rsidR="00C25074">
        <w:rPr>
          <w:sz w:val="28"/>
          <w:szCs w:val="28"/>
        </w:rPr>
        <w:t>2018г.                                                                                               №</w:t>
      </w:r>
      <w:r>
        <w:rPr>
          <w:sz w:val="28"/>
          <w:szCs w:val="28"/>
        </w:rPr>
        <w:t xml:space="preserve"> 5</w:t>
      </w:r>
    </w:p>
    <w:p w:rsidR="00606BB2" w:rsidRDefault="00606BB2" w:rsidP="00606B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использования </w:t>
      </w:r>
    </w:p>
    <w:p w:rsidR="00606BB2" w:rsidRDefault="00606BB2" w:rsidP="00606B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автомобильных дорог при организации и </w:t>
      </w:r>
    </w:p>
    <w:p w:rsidR="00606BB2" w:rsidRDefault="00606BB2" w:rsidP="00606BB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 по гражданской обороне,</w:t>
      </w:r>
    </w:p>
    <w:p w:rsidR="00606BB2" w:rsidRDefault="00606BB2" w:rsidP="00606B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мобилизационной подготовке.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</w:p>
    <w:p w:rsidR="00606BB2" w:rsidRDefault="00606BB2" w:rsidP="00C2507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Федерального закона от 08.11.2007г. № 257-ФЗ "Об автомобильных дорогах и о дорожной деятельности в Российской Федерации,  и внесении изменений в отдельные законодател</w:t>
      </w:r>
      <w:r w:rsidR="00C25074">
        <w:rPr>
          <w:rFonts w:ascii="Times New Roman" w:hAnsi="Times New Roman"/>
          <w:sz w:val="28"/>
          <w:szCs w:val="28"/>
        </w:rPr>
        <w:t xml:space="preserve">ьные акты Российской Федерации", </w:t>
      </w:r>
      <w:r>
        <w:rPr>
          <w:rFonts w:ascii="Times New Roman" w:hAnsi="Times New Roman"/>
          <w:b/>
          <w:sz w:val="28"/>
          <w:szCs w:val="28"/>
        </w:rPr>
        <w:t>ПОСТАНОВЛЯ</w:t>
      </w:r>
      <w:r w:rsidR="00C25074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Порядок использования автомобильных дорог при организации и проведении мероприятий по гражданской обороне, мобилизационной подготовке  (прилагается).</w:t>
      </w:r>
    </w:p>
    <w:p w:rsidR="00606BB2" w:rsidRDefault="00606BB2" w:rsidP="00606B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Настоящее постановление подлежит </w:t>
      </w:r>
      <w:r w:rsidR="00C25074">
        <w:rPr>
          <w:rFonts w:ascii="Times New Roman" w:eastAsia="Times New Roman" w:hAnsi="Times New Roman"/>
          <w:sz w:val="28"/>
          <w:szCs w:val="28"/>
          <w:lang w:eastAsia="ru-RU"/>
        </w:rPr>
        <w:t>обнародованию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 Настоящее Постановление вступает в силу с момента обнародования.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25074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</w:t>
      </w:r>
      <w:proofErr w:type="spellStart"/>
      <w:r w:rsidR="00C25074">
        <w:rPr>
          <w:rFonts w:ascii="Times New Roman" w:hAnsi="Times New Roman"/>
          <w:sz w:val="28"/>
          <w:szCs w:val="28"/>
        </w:rPr>
        <w:t>А.В.Арсентьев</w:t>
      </w:r>
      <w:proofErr w:type="spellEnd"/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</w:p>
    <w:p w:rsidR="00606BB2" w:rsidRDefault="00606BB2" w:rsidP="00606BB2">
      <w:pPr>
        <w:jc w:val="both"/>
        <w:rPr>
          <w:rFonts w:ascii="Times New Roman" w:hAnsi="Times New Roman"/>
          <w:sz w:val="24"/>
          <w:szCs w:val="24"/>
        </w:rPr>
      </w:pPr>
    </w:p>
    <w:p w:rsidR="00606BB2" w:rsidRDefault="00606BB2" w:rsidP="00606BB2">
      <w:pPr>
        <w:jc w:val="both"/>
        <w:rPr>
          <w:rFonts w:ascii="Times New Roman" w:hAnsi="Times New Roman"/>
          <w:sz w:val="24"/>
          <w:szCs w:val="24"/>
        </w:rPr>
      </w:pPr>
    </w:p>
    <w:p w:rsidR="00606BB2" w:rsidRDefault="00606BB2" w:rsidP="00606BB2">
      <w:pPr>
        <w:jc w:val="both"/>
        <w:rPr>
          <w:rFonts w:ascii="Times New Roman" w:hAnsi="Times New Roman"/>
          <w:sz w:val="24"/>
          <w:szCs w:val="24"/>
        </w:rPr>
      </w:pPr>
    </w:p>
    <w:p w:rsidR="00606BB2" w:rsidRDefault="00606BB2" w:rsidP="00606BB2">
      <w:pPr>
        <w:jc w:val="both"/>
        <w:rPr>
          <w:rFonts w:ascii="Times New Roman" w:hAnsi="Times New Roman"/>
          <w:sz w:val="24"/>
          <w:szCs w:val="24"/>
        </w:rPr>
      </w:pPr>
    </w:p>
    <w:p w:rsidR="008065FC" w:rsidRDefault="008065FC" w:rsidP="00606BB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065FC" w:rsidRDefault="008065FC" w:rsidP="00606BB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065FC" w:rsidRDefault="008065FC" w:rsidP="00606BB2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06BB2" w:rsidRDefault="00606BB2" w:rsidP="00606BB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06BB2" w:rsidRDefault="00606BB2" w:rsidP="00606BB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06BB2" w:rsidRDefault="00C25074" w:rsidP="00606BB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Новополтавского сельсовета</w:t>
      </w:r>
    </w:p>
    <w:p w:rsidR="00606BB2" w:rsidRDefault="00606BB2" w:rsidP="00606BB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065FC">
        <w:rPr>
          <w:rFonts w:ascii="Times New Roman" w:hAnsi="Times New Roman"/>
          <w:sz w:val="28"/>
          <w:szCs w:val="28"/>
        </w:rPr>
        <w:t>22.02.2018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065FC">
        <w:rPr>
          <w:rFonts w:ascii="Times New Roman" w:hAnsi="Times New Roman"/>
          <w:sz w:val="28"/>
          <w:szCs w:val="28"/>
        </w:rPr>
        <w:t>5</w:t>
      </w:r>
    </w:p>
    <w:p w:rsidR="00606BB2" w:rsidRDefault="00606BB2" w:rsidP="00606B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BB2" w:rsidRDefault="00606BB2" w:rsidP="00606B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6BB2" w:rsidRDefault="00606BB2" w:rsidP="00606B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606BB2" w:rsidRDefault="00606BB2" w:rsidP="00606B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использования автомобильных дорог при организации и проведении мероприятий по гражданской обороне, мобилизационной подготовке.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Порядок устанавливает цели, задачи, процедуру использования автомобильных дорог при организации и проведении мероприятий по гражданской обороне, мобилизационной подготовке.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Правовой основой Порядка является Федеральный закон от 08.11.2007г.  № 257-ФЗ "Об автомобильных дорогах и о дорожной деятельности в Российской  Федерации и о внесении изменений в отдельные законодательные акты Российской  Федерации" и Федеральный закон от 06.10.2003 № 131-ФЗ «Об общих принципах  организации местного самоуправления в Российской Федерации».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использования автомобильных дорог при организации и проведении  мероприятий по гражданской обороне, мобилизационной подготовке включает: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эвакуацию населения, материальных и культурных ценностей из приграничных районов военных действий, подвергаемых опасности воздействия средств массового поражения, очагов поражения и зон радиоактивного, химического  и биологического (бактериологического) заражения (загрязнения), а также из зон  возможного катастрофического затопления;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доставку материальных средств и техники к местам строительства недостающих защитных сооружений;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вывоз из категорированных населенных пунктов запасов </w:t>
      </w:r>
      <w:proofErr w:type="spellStart"/>
      <w:r>
        <w:rPr>
          <w:rFonts w:ascii="Times New Roman" w:hAnsi="Times New Roman"/>
          <w:sz w:val="28"/>
          <w:szCs w:val="28"/>
        </w:rPr>
        <w:t>аварийно</w:t>
      </w:r>
      <w:proofErr w:type="spellEnd"/>
      <w:r>
        <w:rPr>
          <w:rFonts w:ascii="Times New Roman" w:hAnsi="Times New Roman"/>
          <w:sz w:val="28"/>
          <w:szCs w:val="28"/>
        </w:rPr>
        <w:t xml:space="preserve"> химически опасных, </w:t>
      </w:r>
      <w:proofErr w:type="spellStart"/>
      <w:r>
        <w:rPr>
          <w:rFonts w:ascii="Times New Roman" w:hAnsi="Times New Roman"/>
          <w:sz w:val="28"/>
          <w:szCs w:val="28"/>
        </w:rPr>
        <w:t>взрыво</w:t>
      </w:r>
      <w:proofErr w:type="spellEnd"/>
      <w:r>
        <w:rPr>
          <w:rFonts w:ascii="Times New Roman" w:hAnsi="Times New Roman"/>
          <w:sz w:val="28"/>
          <w:szCs w:val="28"/>
        </w:rPr>
        <w:t>-, пожароопасных и других веществ, которые в случае разрушения емкостей с их запасами на объектах могут представлять опасность возникновения  вторичных факторов поражения;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подвоз сил и сре</w:t>
      </w:r>
      <w:proofErr w:type="gramStart"/>
      <w:r>
        <w:rPr>
          <w:rFonts w:ascii="Times New Roman" w:hAnsi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/>
          <w:sz w:val="28"/>
          <w:szCs w:val="28"/>
        </w:rPr>
        <w:t>ажданской обороны к местам проведения аварийно-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спасательных и других неотложных работ;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вывоз из очагов поражения пострадавшего населения.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Большой объем перевозок гражданской обороны в короткие сроки требует привлечения для их осуществления всех видов транспорта: автомобильного, 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железнодорожного, речного (морского) и авиационного. Для этих целей используется весь наличный транспорт, не подлежащий поставкам в вооруженные силы и не занятый неотложными народнохозяйственными перевозками, в том числе общественный, ведомственный и личный.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согласованию с органами управления военного командования к перевозкам  в интересах гражданской обороны могут привлекаться транспортные средства  вооруженных сил.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Перевозка  эвакуируемого (отселяемого) населения осуществляются в первую очередь.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Эвакоперевозки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планируются преимущественно автобусами и пассажирскими поездами. При их недостатке используются крытые вагоны и грузовые бортовые  автомобили, оборудованные для перевозки людей с учетом климатических условий. 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Нормы посадки в вагоны, автобусы и на суда при перевозке должны обеспечивать  минимальные условия для отдыха перевозимого населения в пути следования.  Личный транспорт граждан, как правило, предусматривается для вывоза семей  близких владельцев этого транспорта. Для выполнения эвакуационных перевозок  разрабатываются специальные эвакуационные графики. При этом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вывоз эвакуируемых из категорированных населенных пунктов, опасных зон следует  планировать до определенных пунктов (станций, пристаней, аэродромов) высадки,  обеспечивающих наиболее быстрый оборот транспортных средств. </w:t>
      </w:r>
      <w:proofErr w:type="gramStart"/>
      <w:r>
        <w:rPr>
          <w:rFonts w:ascii="Times New Roman" w:hAnsi="Times New Roman"/>
          <w:sz w:val="28"/>
          <w:szCs w:val="28"/>
        </w:rPr>
        <w:t>Из этих пунктов до мест постоянного размещения эвакуируемые доставляются транспортом местных  (сельских) поселений.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 автомобильных колонн по возможности должно планироваться </w:t>
      </w:r>
      <w:proofErr w:type="gramStart"/>
      <w:r>
        <w:rPr>
          <w:rFonts w:ascii="Times New Roman" w:hAnsi="Times New Roman"/>
          <w:sz w:val="28"/>
          <w:szCs w:val="28"/>
        </w:rPr>
        <w:t>сквозным</w:t>
      </w:r>
      <w:proofErr w:type="gramEnd"/>
      <w:r>
        <w:rPr>
          <w:rFonts w:ascii="Times New Roman" w:hAnsi="Times New Roman"/>
          <w:sz w:val="28"/>
          <w:szCs w:val="28"/>
        </w:rPr>
        <w:t xml:space="preserve"> до конечных пунктов (мест расселения).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материальных средств и техники для строительства защитных сооружений </w:t>
      </w:r>
      <w:proofErr w:type="gramStart"/>
      <w:r>
        <w:rPr>
          <w:rFonts w:ascii="Times New Roman" w:hAnsi="Times New Roman"/>
          <w:sz w:val="28"/>
          <w:szCs w:val="28"/>
        </w:rPr>
        <w:t>осуществляется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автомобильным транспортом тех организаций, в интересах которых ведется данное строительство, а также транспортом, предусмотренным планами строительства защитных сооружений в  расчетном году. При наличии ведомственного </w:t>
      </w:r>
      <w:r>
        <w:rPr>
          <w:rFonts w:ascii="Times New Roman" w:hAnsi="Times New Roman"/>
          <w:sz w:val="28"/>
          <w:szCs w:val="28"/>
        </w:rPr>
        <w:lastRenderedPageBreak/>
        <w:t>железнодорожного и водного транспорта он может быть использован для этих целей. Эвакуация материальных и культурных ценностей осуществляется специальным железнодорожным, автомобильным и водным транспортом, который не используется для перевозки людей. После окончания эвакуации населения для этих целей привлекаются освободившиеся транспортные средства.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Подвоз сил гражданской обороны к местам проведения аварийно-спасательных и других неотложных работ осуществляется, как правило, транспортными средствами формирований, входящих в состав этих сил.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Вывоз пострадавшего населения из очагов поражения осуществляется всеми видами имеющихся транспортных средств, оборудованных для перевозки пораженных.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централизованного управления автомобильными колоннами организуются диспетчерские пункты. На период </w:t>
      </w:r>
      <w:proofErr w:type="spellStart"/>
      <w:r>
        <w:rPr>
          <w:rFonts w:ascii="Times New Roman" w:hAnsi="Times New Roman"/>
          <w:sz w:val="28"/>
          <w:szCs w:val="28"/>
        </w:rPr>
        <w:t>эвакоперевозок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населения автоколонны закрепляются за определенными сборными эвакопунктами и маршрутами.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внезапно возникающих задач по транспортному обеспечению мероприятий гражданской обороны создается резерв транспортных средств, который находится в распоряжении соответствующих руководителей гражданской  обороны.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планировании перевозок гражданской обороны особое внимание обращается на увязку графиков движения транспорта со службами (органами), занимающимися регулированием движения (ГИБДД и военная автоинспекция); лица, ответственные за организацию перевозок, должны иметь выписки из графиков, движения транспорта на своих направлениях, в которых должен быть отражен порядок движения транспорта и его регулирования в местах пересечения железных и автомобильных дорог и транспортных развязок.</w:t>
      </w:r>
      <w:proofErr w:type="gramEnd"/>
      <w:r>
        <w:rPr>
          <w:rFonts w:ascii="Times New Roman" w:hAnsi="Times New Roman"/>
          <w:sz w:val="28"/>
          <w:szCs w:val="28"/>
        </w:rPr>
        <w:t xml:space="preserve"> Заблаговременно определяется порядок снабжения ГСМ, технического обслуживания и ремонта транспортных средств.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эвакуации населения на территорию соседних субъектов Российской Федерации транспортные перевозки предварительно согласовываются с органами, осуществляющими управление гражданской обороной, субъектов Российской Федерации, на территорию которых производится эвакуация людей или материальных ценностей.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Дорожное обеспечение действий сил и мероприятий гражданской обороны 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заключается в заблаговременной подготовке транспортных маршрутов к массовым перевозкам. Оно включает: ремонт и содержание в проезжем состоянии полотна  автомобильных дорог и искусственных сооружений на них; реконструкцию  существующих и строительство новых автомобильных дорог, обходов  категорированных городов и искусственных сооружений;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 строительных материалов и новых конструкций, выделение и расстановка сил и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выполнения восстановительных работ на важнейших объектах и  участках дорог) для обеспечения ввода формирований в очаги поражения и  эвакуации пораженных; разработку мероприятий по обеспечению маршрутов эвакуации населения пешим порядком.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Транспортное и дорожное обеспечение осуществляют в тесном взаимодействии: 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 службой военных сообщений — по вопросам совместного использования железнодорожного, водного и воздушного транспорта;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дорожными войсками — по совместному использованию </w:t>
      </w:r>
      <w:proofErr w:type="gramStart"/>
      <w:r>
        <w:rPr>
          <w:rFonts w:ascii="Times New Roman" w:hAnsi="Times New Roman"/>
          <w:sz w:val="28"/>
          <w:szCs w:val="28"/>
        </w:rPr>
        <w:t>автомобильных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 для передвижения войск, воинских перевозок и перевозок </w:t>
      </w:r>
      <w:proofErr w:type="gramStart"/>
      <w:r>
        <w:rPr>
          <w:rFonts w:ascii="Times New Roman" w:hAnsi="Times New Roman"/>
          <w:sz w:val="28"/>
          <w:szCs w:val="28"/>
        </w:rPr>
        <w:t>гражданской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обороны, а также по техническому прикрытию автомобильных дорог;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военными комиссариатами — по определению автомобильного транспорта,  оставшегося в ведении гражданской обороны после от </w:t>
      </w:r>
      <w:proofErr w:type="spellStart"/>
      <w:r>
        <w:rPr>
          <w:rFonts w:ascii="Times New Roman" w:hAnsi="Times New Roman"/>
          <w:sz w:val="28"/>
          <w:szCs w:val="28"/>
        </w:rPr>
        <w:t>мобилизования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нужд  Вооруженных Сил.</w:t>
      </w: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606BB2" w:rsidRDefault="00606BB2" w:rsidP="00606BB2">
      <w:pPr>
        <w:jc w:val="both"/>
        <w:rPr>
          <w:rFonts w:ascii="Times New Roman" w:hAnsi="Times New Roman"/>
          <w:sz w:val="24"/>
          <w:szCs w:val="24"/>
        </w:rPr>
      </w:pPr>
    </w:p>
    <w:p w:rsidR="00606BB2" w:rsidRDefault="00606BB2" w:rsidP="00606BB2">
      <w:pPr>
        <w:jc w:val="both"/>
        <w:rPr>
          <w:rFonts w:ascii="Times New Roman" w:hAnsi="Times New Roman"/>
          <w:sz w:val="28"/>
          <w:szCs w:val="28"/>
        </w:rPr>
      </w:pPr>
    </w:p>
    <w:p w:rsidR="00FD0536" w:rsidRDefault="00FD0536"/>
    <w:sectPr w:rsidR="00FD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38"/>
    <w:rsid w:val="00606BB2"/>
    <w:rsid w:val="00757A38"/>
    <w:rsid w:val="008065FC"/>
    <w:rsid w:val="00C25074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5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5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2018-02-22T01:32:00Z</cp:lastPrinted>
  <dcterms:created xsi:type="dcterms:W3CDTF">2018-02-21T08:07:00Z</dcterms:created>
  <dcterms:modified xsi:type="dcterms:W3CDTF">2018-02-22T01:35:00Z</dcterms:modified>
</cp:coreProperties>
</file>